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A31" w14:textId="2F9071C8" w:rsidR="001B54AD" w:rsidRPr="001B54AD" w:rsidRDefault="00841D7D" w:rsidP="001B54AD">
      <w:pPr>
        <w:pStyle w:val="Normlnweb"/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</w:pPr>
      <w:r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  <w:t>Kanadská centrální banka dává pauzu: Budou ji další centrální banky tento týden následovat?</w:t>
      </w:r>
    </w:p>
    <w:p w14:paraId="450ADEA9" w14:textId="77777777" w:rsidR="001B54AD" w:rsidRPr="001B54AD" w:rsidRDefault="001B54AD" w:rsidP="001B54AD">
      <w:pPr>
        <w:pStyle w:val="Normlnweb"/>
        <w:rPr>
          <w:rFonts w:ascii="Invesco Interstate Bold" w:eastAsia="Times New Roman" w:hAnsi="Invesco Interstate Bold"/>
          <w:b/>
          <w:bCs/>
          <w:lang w:eastAsia="de-DE"/>
        </w:rPr>
      </w:pPr>
      <w:r w:rsidRPr="001B54AD">
        <w:rPr>
          <w:rFonts w:ascii="Invesco Interstate Bold" w:eastAsia="Times New Roman" w:hAnsi="Invesco Interstate Bold"/>
          <w:b/>
          <w:bCs/>
          <w:lang w:eastAsia="de-DE"/>
        </w:rPr>
        <w:t>Komentář Kristiny Hooper</w:t>
      </w:r>
      <w:r w:rsidR="00647FEA" w:rsidRPr="00D218DD">
        <w:rPr>
          <w:rFonts w:ascii="Invesco Interstate Bold" w:eastAsia="Times New Roman" w:hAnsi="Invesco Interstate Bold"/>
          <w:b/>
          <w:bCs/>
          <w:lang w:eastAsia="de-DE"/>
        </w:rPr>
        <w:t xml:space="preserve">, 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>vedoucí stratéžk</w:t>
      </w:r>
      <w:r w:rsidR="00FA4DC6">
        <w:rPr>
          <w:rFonts w:ascii="Invesco Interstate Bold" w:eastAsia="Times New Roman" w:hAnsi="Invesco Interstate Bold"/>
          <w:b/>
          <w:bCs/>
          <w:lang w:eastAsia="de-DE"/>
        </w:rPr>
        <w:t>y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 xml:space="preserve"> pro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 xml:space="preserve"> 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 xml:space="preserve">globální 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>trh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>y,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 xml:space="preserve"> Invesco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 xml:space="preserve"> Ltd.</w:t>
      </w:r>
    </w:p>
    <w:p w14:paraId="4D0CD076" w14:textId="4C9F44AC" w:rsidR="00B733DA" w:rsidRPr="002F1572" w:rsidRDefault="00841D7D" w:rsidP="001B54AD">
      <w:pPr>
        <w:pStyle w:val="Normlnweb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Kanadská centrální banka stiskla tlačítko „pauza“</w:t>
      </w:r>
    </w:p>
    <w:p w14:paraId="6299A225" w14:textId="77777777" w:rsidR="00841D7D" w:rsidRPr="00841D7D" w:rsidRDefault="00841D7D" w:rsidP="00841D7D">
      <w:pPr>
        <w:spacing w:before="100" w:beforeAutospacing="1" w:after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 lednu zasedala Kanadská centrální banka a rozhodla o zvýšení své hlavní úrokové sazby o 25 bazických bodů, což je nejmenší zvýšení od března. Co je ještě důležitější, rozhodla se stisknout tlačítko „pauza“ v cyklu zvyšování sazeb. Její guvernér </w:t>
      </w:r>
      <w:proofErr w:type="spellStart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Tiff</w:t>
      </w:r>
      <w:proofErr w:type="spellEnd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Macklem</w:t>
      </w:r>
      <w:proofErr w:type="spellEnd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vysvětlil: </w:t>
      </w:r>
      <w:r w:rsidRPr="00841D7D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"Po dnešním mírným navýšením očekáváme zastavení zvyšování sazeb, budeme vyhodnocovat dopady již provedeného výrazného zpřísnění měnové politiky.“</w:t>
      </w:r>
    </w:p>
    <w:p w14:paraId="77B5624B" w14:textId="00879EB1" w:rsidR="00841D7D" w:rsidRDefault="00841D7D" w:rsidP="00841D7D">
      <w:pPr>
        <w:spacing w:before="100" w:beforeAutospacing="1" w:after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Nyní se inflace v Kanadě ani zdaleka neblíží cíli centrální banky ve výši 2 %. Celkový index spotřebitelských cen (CPI) v Kanadě dosáhl v prosinci meziročně 6,3 %; jádrový index CPI činil meziročně 5,3 %. Ve skutečnosti se zdá, že CPI dosáhl svého vrcholu teprve letos na podzim. Co tedy vedlo Kanadskou centrální banku ke stisknutí tlačítka „pauza“ tak brzy poté, co se inflace začala zmírňovat?</w:t>
      </w:r>
    </w:p>
    <w:p w14:paraId="6DDF9343" w14:textId="7C7C8E77" w:rsidR="00841D7D" w:rsidRPr="00841D7D" w:rsidRDefault="00841D7D" w:rsidP="00841D7D">
      <w:pPr>
        <w:spacing w:before="100" w:beforeAutospacing="1" w:after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Myslím, že Kanadská centrální banka je přesvědčenější o tom, že inflace se dostatečně zmírňuje. Předpokládá, že do konce letošního roku bude inflace na úrovni 3 %, což je na horní hranici jejího cílového rozpětí. A možná může být stále citlivější na rizika, která představuje agresivní zpřísňování měnové politiky – proto se objevují slova o tom, že Kanadská centrální banka musí vyhodnotit "dopady" již proběhlého zpřísňování měnové politiky.</w:t>
      </w:r>
    </w:p>
    <w:p w14:paraId="4CE0A445" w14:textId="552C7D01" w:rsidR="001B54AD" w:rsidRPr="001B54AD" w:rsidRDefault="00841D7D" w:rsidP="001B54AD">
      <w:pPr>
        <w:pStyle w:val="Nadpis2"/>
        <w:jc w:val="both"/>
        <w:rPr>
          <w:rFonts w:ascii="Invesco Interstate Light" w:eastAsia="MS Mincho" w:hAnsi="Invesco Interstate Light" w:cs="Times New Roman"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Times New Roman"/>
          <w:sz w:val="22"/>
          <w:szCs w:val="22"/>
          <w:lang w:eastAsia="ja-JP"/>
        </w:rPr>
        <w:t>Budou ostatní centrální banky následovat příklad?</w:t>
      </w:r>
    </w:p>
    <w:p w14:paraId="5691F23F" w14:textId="4ECFFFA5" w:rsidR="00841D7D" w:rsidRDefault="00841D7D" w:rsidP="00841D7D">
      <w:pPr>
        <w:spacing w:before="100" w:before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A tak se mnozí ptají: budou Federální rezervní systém (Fed), Evropská centrální banka (ECB) a Centrální banka Velké Británie (</w:t>
      </w:r>
      <w:proofErr w:type="spellStart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BoE</w:t>
      </w:r>
      <w:proofErr w:type="spellEnd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) následovat tento příklad? Zdá se předčasné, aby tyto centrální banky okamžitě sledovaly kroky Kanadské centrální banky, a to z různých důvodů. Každá banka má své vlastní konkrétní ekonomické podmínky:</w:t>
      </w:r>
    </w:p>
    <w:p w14:paraId="004E1ADB" w14:textId="77777777" w:rsidR="00841D7D" w:rsidRPr="00841D7D" w:rsidRDefault="00841D7D" w:rsidP="00841D7D">
      <w:pPr>
        <w:pStyle w:val="Odstavecseseznamem"/>
        <w:numPr>
          <w:ilvl w:val="0"/>
          <w:numId w:val="29"/>
        </w:numPr>
        <w:spacing w:before="100" w:beforeAutospacing="1"/>
        <w:contextualSpacing/>
        <w:jc w:val="both"/>
        <w:rPr>
          <w:rFonts w:ascii="Invesco Interstate Light" w:eastAsia="MS Mincho" w:hAnsi="Invesco Interstate Light"/>
          <w:lang w:eastAsia="ja-JP"/>
        </w:rPr>
      </w:pPr>
      <w:r w:rsidRPr="00841D7D">
        <w:rPr>
          <w:rFonts w:ascii="Invesco Interstate Light" w:eastAsia="MS Mincho" w:hAnsi="Invesco Interstate Light"/>
          <w:b/>
          <w:bCs/>
          <w:lang w:eastAsia="ja-JP"/>
        </w:rPr>
        <w:t>Evropa.</w:t>
      </w:r>
      <w:r w:rsidRPr="00841D7D">
        <w:rPr>
          <w:rFonts w:ascii="Invesco Interstate Light" w:eastAsia="MS Mincho" w:hAnsi="Invesco Interstate Light"/>
          <w:lang w:eastAsia="ja-JP"/>
        </w:rPr>
        <w:t xml:space="preserve"> Evropská inflace vyvrcholila v říjnu na 10,6 % a začala se snižovat, ale je stále na velmi vysoké úrovni, která dosahovala za prosinec meziročně 9,2 %. Prezidentka ECB Christine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Lagardeová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se nadále soustředí na snižování inflace, a právě minulý týden zopakovala svůj plán pokračovat ve zvyšování sazeb, dokud nebudou „dostatečně restriktivní“, a zůstat na těchto úrovních, dokud nedojde k „včasnému návratu inflace k našemu cíli.“ Dokonce to může povzbudit překvapivě odolná ekonomika eurozóny. Index S&amp;P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Global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Flash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Eurozone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Composite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Purchasing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Managers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vydaný minulý týden ukázal ekonomické zlepšení, když lednový údaj na úrovni 50,2 opět dosáhl expanze, čímž překonal očekávání a vzrostl z prosincové hodnoty 49,3. Za zmínku také stojí, že ECB začala se zvyšováním sazeb později než ostatní hlavní centrální banky vyspělých trhů kvůli problémům, které pro růst představovala válečná energetická krize a velké roli, kterou hrály ceny energií a potravin v inflaci eurozóny. Nyní je však již velká část energetického šoku absorbována – navíc ceny energií jsou ve velmi mírné zimě s vysokými zásobami energie značně nad svými maximy. Obě tyto podmínky udržují kupní sílu domácností a firem, což zase hrozí dalším posílením inflace. Vše nasvědčuje tomu, že zpřísňování bude ještě nějakou dobu pokračovat.</w:t>
      </w:r>
    </w:p>
    <w:p w14:paraId="1C8F2B2B" w14:textId="77777777" w:rsidR="00841D7D" w:rsidRPr="00841D7D" w:rsidRDefault="00841D7D" w:rsidP="00841D7D">
      <w:pPr>
        <w:spacing w:before="100" w:before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DEE7FE2" w14:textId="713BA6D7" w:rsidR="00841D7D" w:rsidRDefault="00841D7D" w:rsidP="00841D7D">
      <w:pPr>
        <w:pStyle w:val="Odstavecseseznamem"/>
        <w:numPr>
          <w:ilvl w:val="0"/>
          <w:numId w:val="29"/>
        </w:numPr>
        <w:spacing w:before="100" w:beforeAutospacing="1"/>
        <w:contextualSpacing/>
        <w:jc w:val="both"/>
        <w:rPr>
          <w:rFonts w:ascii="Invesco Interstate Light" w:eastAsia="MS Mincho" w:hAnsi="Invesco Interstate Light"/>
          <w:lang w:eastAsia="ja-JP"/>
        </w:rPr>
      </w:pPr>
      <w:r w:rsidRPr="00841D7D">
        <w:rPr>
          <w:rFonts w:ascii="Invesco Interstate Light" w:eastAsia="MS Mincho" w:hAnsi="Invesco Interstate Light"/>
          <w:b/>
          <w:bCs/>
          <w:lang w:eastAsia="ja-JP"/>
        </w:rPr>
        <w:lastRenderedPageBreak/>
        <w:t>Spojené království.</w:t>
      </w:r>
      <w:r w:rsidRPr="00841D7D">
        <w:rPr>
          <w:rFonts w:ascii="Invesco Interstate Light" w:eastAsia="MS Mincho" w:hAnsi="Invesco Interstate Light"/>
          <w:lang w:eastAsia="ja-JP"/>
        </w:rPr>
        <w:t xml:space="preserve"> Ve Spojeném království je inflace ještě vyšší. V říjnu dosáhla svého meziročního maxima na úrovni 11,1 % a prosincová hodnota činila meziročně 10,5 %, takže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BoE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nemá v dohledné době prostor pro stisknutí tlačítka "pauza".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BoE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zvyšuje sazby déle, ale Spojené království má náročnější inflační prostředí. Čelí hlubšímu strukturálnímu napětí na svém trhu práce v důsledku několika faktorů, z nichž nemalou roli hraje Brexit, který snížil nárok mnoha pracovníků z EU na pobyt nebo příchod do Spojeného království. Spojené království tak může být nakonec restriktivnější než Fed nebo ECB kvůli vyšší inflaci a inflačním rizikům, a to navzdory největšímu riziku recese.</w:t>
      </w:r>
    </w:p>
    <w:p w14:paraId="7B4DA10C" w14:textId="77777777" w:rsidR="00841D7D" w:rsidRPr="00841D7D" w:rsidRDefault="00841D7D" w:rsidP="00841D7D">
      <w:pPr>
        <w:pStyle w:val="Odstavecseseznamem"/>
        <w:rPr>
          <w:rFonts w:ascii="Invesco Interstate Light" w:eastAsia="MS Mincho" w:hAnsi="Invesco Interstate Light"/>
          <w:lang w:eastAsia="ja-JP"/>
        </w:rPr>
      </w:pPr>
    </w:p>
    <w:p w14:paraId="187C802B" w14:textId="7E37C634" w:rsidR="00841D7D" w:rsidRPr="00841D7D" w:rsidRDefault="00841D7D" w:rsidP="00841D7D">
      <w:pPr>
        <w:pStyle w:val="Odstavecseseznamem"/>
        <w:numPr>
          <w:ilvl w:val="0"/>
          <w:numId w:val="29"/>
        </w:numPr>
        <w:spacing w:before="100" w:beforeAutospacing="1"/>
        <w:contextualSpacing/>
        <w:jc w:val="both"/>
        <w:rPr>
          <w:rFonts w:ascii="Invesco Interstate Light" w:eastAsia="MS Mincho" w:hAnsi="Invesco Interstate Light"/>
          <w:lang w:eastAsia="ja-JP"/>
        </w:rPr>
      </w:pPr>
      <w:r w:rsidRPr="00841D7D">
        <w:rPr>
          <w:rFonts w:ascii="Invesco Interstate Light" w:eastAsia="MS Mincho" w:hAnsi="Invesco Interstate Light"/>
          <w:b/>
          <w:bCs/>
          <w:lang w:eastAsia="ja-JP"/>
        </w:rPr>
        <w:t xml:space="preserve">Spojené státy. </w:t>
      </w:r>
      <w:r w:rsidRPr="00841D7D">
        <w:rPr>
          <w:rFonts w:ascii="Invesco Interstate Light" w:eastAsia="MS Mincho" w:hAnsi="Invesco Interstate Light"/>
          <w:lang w:eastAsia="ja-JP"/>
        </w:rPr>
        <w:t xml:space="preserve">Inflace v USA se již několik měsíců snižuje. Americký cenový index osobních spotřebních výdajů (PCE) naznačoval inflaci v souladu s prognózami pro prosinec: 5,0 % celkovou a 4,4 % jádrovou. To ukazuje na podstatné zlepšení oproti listopadovým hodnotám 5,5 % celkové a 4,7 % jádrové inflace v listopadu. Předseda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Fedu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Jay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Powell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však nechává po chodbách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Fedu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bloudit ducha svého předchůdce Paula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Volckera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a rozdmýchává strach z toho, že inflace se zakoření, pokud nebude nyní zcela potlačena. Strach z opakování situace z přelomu 70. a 80. let, kdy Fed "nezvládl práci" na první pokus, je mocnou silou, protože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Powell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se obává o svůj odkaz. (Zjevně nechce, aby se na něj vzpomínalo jako na Arthura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Burnse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, ale jako na Paula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Volckera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. Možná by měl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Powell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rozšířit své možnosti o Alana </w:t>
      </w:r>
      <w:proofErr w:type="spellStart"/>
      <w:r w:rsidRPr="00841D7D">
        <w:rPr>
          <w:rFonts w:ascii="Invesco Interstate Light" w:eastAsia="MS Mincho" w:hAnsi="Invesco Interstate Light"/>
          <w:lang w:eastAsia="ja-JP"/>
        </w:rPr>
        <w:t>Greenspana</w:t>
      </w:r>
      <w:proofErr w:type="spellEnd"/>
      <w:r w:rsidRPr="00841D7D">
        <w:rPr>
          <w:rFonts w:ascii="Invesco Interstate Light" w:eastAsia="MS Mincho" w:hAnsi="Invesco Interstate Light"/>
          <w:lang w:eastAsia="ja-JP"/>
        </w:rPr>
        <w:t xml:space="preserve"> jako svého "duchovního centrálního bankéře")? Fed by se měl také obávat, že pokud brzy nestiskne tlačítko "pauza", pošle americkou ekonomiku do výrazné recese.</w:t>
      </w:r>
    </w:p>
    <w:p w14:paraId="61E0A363" w14:textId="63C794CC" w:rsidR="001B54AD" w:rsidRPr="001B54AD" w:rsidRDefault="00841D7D" w:rsidP="00B733DA">
      <w:pPr>
        <w:spacing w:before="100" w:beforeAutospacing="1" w:afterAutospacing="1" w:line="240" w:lineRule="auto"/>
        <w:jc w:val="both"/>
        <w:outlineLvl w:val="1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Mohl by Fed spustit „podmíněnou pauzu“?</w:t>
      </w:r>
    </w:p>
    <w:p w14:paraId="19783E7B" w14:textId="77777777" w:rsidR="00841D7D" w:rsidRDefault="00841D7D" w:rsidP="00841D7D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Je zřejmé, že z těchto tří centrálních bank má Fed největší možnost brzy stisknout tlačítko "pauza". A obavy z nedokončení </w:t>
      </w:r>
      <w:proofErr w:type="spellStart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prácí</w:t>
      </w:r>
      <w:proofErr w:type="spellEnd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na inflaci může řešit tím, že si vezme příklad z příručky Kanadské centrální banky. Ta dala jasně najevo, že se jedná o "podmíněnou pauzu", která závisí na tom, "zda se ekonomický vývoj bude vyvíjet v zásadě v souladu s naším ... výhledem". Kanadská centrální banka však jasně řekla, že "pokud budeme muset udělat více, abychom dostali inflaci na dvouprocentní cíl, uděláme to".</w:t>
      </w:r>
    </w:p>
    <w:p w14:paraId="1E26A157" w14:textId="77777777" w:rsidR="00841D7D" w:rsidRDefault="00841D7D" w:rsidP="00841D7D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9BF5A3B" w14:textId="05C87BFA" w:rsidR="00841D7D" w:rsidRPr="00841D7D" w:rsidRDefault="00841D7D" w:rsidP="00841D7D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Doufám, že podobná "podmíněná pauza" s tvrdými formulacemi ohledně opětovného zavedení zvýšení sazeb, pokud ekonomické údaje nebudou uspokojivé, bude stačit ke zmírnění obav jestřábů z </w:t>
      </w:r>
      <w:proofErr w:type="spellStart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Fedu</w:t>
      </w:r>
      <w:proofErr w:type="spellEnd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– a ducha Paula </w:t>
      </w:r>
      <w:proofErr w:type="spellStart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Volckera</w:t>
      </w:r>
      <w:proofErr w:type="spellEnd"/>
      <w:r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. Doufám a stále více věřím, že Fed ještě v březnu zvýší sazby o 25 bazických bodů – ale že březnové zasedání přijde s "podmíněnou pauzou".</w:t>
      </w:r>
    </w:p>
    <w:p w14:paraId="13873FD3" w14:textId="6AB97934" w:rsidR="00841D7D" w:rsidRPr="00841D7D" w:rsidRDefault="00B733DA" w:rsidP="00841D7D">
      <w:p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733DA">
        <w:rPr>
          <w:rFonts w:ascii="Invesco Interstate Light" w:eastAsia="MS Mincho" w:hAnsi="Invesco Interstate Light"/>
          <w:sz w:val="22"/>
          <w:szCs w:val="22"/>
          <w:lang w:eastAsia="ja-JP"/>
        </w:rPr>
        <w:br/>
      </w:r>
      <w:r w:rsidR="00841D7D"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Trhy se budou muset i nadále potýkat s dalším zvyšováním sazeb centrálních bank, zejména ECB a </w:t>
      </w:r>
      <w:proofErr w:type="spellStart"/>
      <w:r w:rsidR="00841D7D"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BoE</w:t>
      </w:r>
      <w:proofErr w:type="spellEnd"/>
      <w:r w:rsidR="00841D7D"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. To by však nemělo být až takovým překvapením a pozitivní zprávou je, že </w:t>
      </w:r>
      <w:proofErr w:type="gramStart"/>
      <w:r w:rsidR="00841D7D"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lepší</w:t>
      </w:r>
      <w:proofErr w:type="gramEnd"/>
      <w:r w:rsidR="00841D7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r w:rsidR="00841D7D" w:rsidRPr="00841D7D">
        <w:rPr>
          <w:rFonts w:ascii="Invesco Interstate Light" w:eastAsia="MS Mincho" w:hAnsi="Invesco Interstate Light"/>
          <w:sz w:val="22"/>
          <w:szCs w:val="22"/>
          <w:lang w:eastAsia="ja-JP"/>
        </w:rPr>
        <w:t>než očekávaný růst eurozóny spolu s opětovným otevřením Číny výrazně snižuje krátkodobé riziko globální recese. Ukazuje to na další změkčení dolaru, protože očekávání o vývoji globálního oživení se rozvíjejí, a podle mého názoru by to mělo poskytnout určitou podporu rizikovým aktivům tváří v tvář nepříznivému vývoji zisků.</w:t>
      </w:r>
    </w:p>
    <w:p w14:paraId="489C1C39" w14:textId="46A83ABF" w:rsidR="00B733DA" w:rsidRPr="00B733DA" w:rsidRDefault="00B733DA" w:rsidP="00841D7D">
      <w:pPr>
        <w:spacing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F010C23" w14:textId="744855E0" w:rsidR="00BE67F0" w:rsidRPr="00841D7D" w:rsidRDefault="00841D7D" w:rsidP="00841D7D">
      <w:pPr>
        <w:jc w:val="both"/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</w:pPr>
      <w:r w:rsidRPr="00841D7D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S přispěním </w:t>
      </w:r>
      <w:proofErr w:type="spellStart"/>
      <w:r w:rsidRPr="00841D7D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Arnaba</w:t>
      </w:r>
      <w:proofErr w:type="spellEnd"/>
      <w:r w:rsidRPr="00841D7D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 xml:space="preserve"> </w:t>
      </w:r>
      <w:proofErr w:type="spellStart"/>
      <w:r w:rsidRPr="00841D7D"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  <w:t>Dase</w:t>
      </w:r>
      <w:proofErr w:type="spellEnd"/>
    </w:p>
    <w:p w14:paraId="263B6618" w14:textId="77777777" w:rsidR="0054027B" w:rsidRDefault="0054027B" w:rsidP="001B54AD">
      <w:pPr>
        <w:spacing w:line="240" w:lineRule="exact"/>
        <w:jc w:val="both"/>
        <w:rPr>
          <w:rFonts w:ascii="Invesco Interstate Light" w:eastAsia="MS Mincho" w:hAnsi="Invesco Interstate Light"/>
          <w:i/>
          <w:iCs/>
          <w:sz w:val="22"/>
          <w:szCs w:val="22"/>
          <w:lang w:eastAsia="ja-JP"/>
        </w:rPr>
      </w:pPr>
    </w:p>
    <w:p w14:paraId="697C0EC3" w14:textId="77777777" w:rsidR="0060123C" w:rsidRDefault="0060123C" w:rsidP="001B54AD">
      <w:pPr>
        <w:spacing w:line="240" w:lineRule="exact"/>
        <w:jc w:val="both"/>
        <w:rPr>
          <w:rFonts w:ascii="Invesco Interstate Light" w:hAnsi="Invesco Interstate Light"/>
          <w:sz w:val="22"/>
          <w:szCs w:val="22"/>
        </w:rPr>
      </w:pPr>
    </w:p>
    <w:p w14:paraId="586C1178" w14:textId="77777777" w:rsidR="00BE67F0" w:rsidRPr="004E3E12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44E6FB3D" w14:textId="77777777" w:rsidR="00BE67F0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C413A69" w14:textId="77777777" w:rsidR="00BE67F0" w:rsidRPr="004E3E12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1D6AB386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2175EC61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43FA10C4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</w:t>
      </w:r>
      <w:r>
        <w:rPr>
          <w:rFonts w:ascii="Invesco Interstate Light" w:hAnsi="Invesco Interstate Light"/>
          <w:b/>
          <w:bCs/>
          <w:sz w:val="22"/>
          <w:szCs w:val="22"/>
        </w:rPr>
        <w:t> </w:t>
      </w:r>
      <w:r w:rsidRPr="00873CBF">
        <w:rPr>
          <w:rFonts w:ascii="Invesco Interstate Light" w:hAnsi="Invesco Interstate Light"/>
          <w:b/>
          <w:bCs/>
          <w:sz w:val="22"/>
          <w:szCs w:val="22"/>
        </w:rPr>
        <w:t>informace</w:t>
      </w:r>
      <w:r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6B620CA3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2B8BB676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9E3A06A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1C8DCA4B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696532D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GmbH- jsou součástí Invesco Ltd., </w:t>
      </w:r>
    </w:p>
    <w:p w14:paraId="5001941A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679B9078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602426E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2FBB52F3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4069F7B7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3C50ED3D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07AA1B20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3DF4590" w14:textId="77777777" w:rsidR="00BE67F0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An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der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Welle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5,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D-60322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Frankfurt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nad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Mohanem.</w:t>
      </w:r>
      <w:r w:rsidRPr="00654055">
        <w:rPr>
          <w:rFonts w:ascii="Invesco Interstate Light" w:hAnsi="Invesco Interstate Light"/>
          <w:sz w:val="22"/>
          <w:szCs w:val="22"/>
        </w:rPr>
        <w:br/>
        <w:t>Red Oak ID: 1958016</w:t>
      </w:r>
    </w:p>
    <w:p w14:paraId="477C5BDC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08DCE9C2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1E005AFF" w14:textId="77777777" w:rsidR="00BE67F0" w:rsidRPr="00873CBF" w:rsidRDefault="00BE67F0" w:rsidP="00BE67F0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0EAF9FDD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2948FBF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185B372E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7E609A4E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5B0C94D3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0CB6517A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14:paraId="49605B3C" w14:textId="77777777" w:rsidR="00BE67F0" w:rsidRPr="00907B79" w:rsidRDefault="00BE67F0" w:rsidP="00022FAF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BE67F0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45A6" w14:textId="77777777" w:rsidR="00005766" w:rsidRDefault="00005766">
      <w:r>
        <w:separator/>
      </w:r>
    </w:p>
  </w:endnote>
  <w:endnote w:type="continuationSeparator" w:id="0">
    <w:p w14:paraId="1B599249" w14:textId="77777777" w:rsidR="00005766" w:rsidRDefault="00005766">
      <w:r>
        <w:continuationSeparator/>
      </w:r>
    </w:p>
  </w:endnote>
  <w:endnote w:type="continuationNotice" w:id="1">
    <w:p w14:paraId="01D5EABD" w14:textId="77777777" w:rsidR="00005766" w:rsidRDefault="000057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183C" w14:textId="77777777" w:rsidR="00005766" w:rsidRDefault="00005766">
      <w:r>
        <w:separator/>
      </w:r>
    </w:p>
  </w:footnote>
  <w:footnote w:type="continuationSeparator" w:id="0">
    <w:p w14:paraId="11DB69D1" w14:textId="77777777" w:rsidR="00005766" w:rsidRDefault="00005766">
      <w:r>
        <w:continuationSeparator/>
      </w:r>
    </w:p>
  </w:footnote>
  <w:footnote w:type="continuationNotice" w:id="1">
    <w:p w14:paraId="5AD68346" w14:textId="77777777" w:rsidR="00005766" w:rsidRDefault="000057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EFBB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45B6BF2B" wp14:editId="0ED0B043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2821A177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D3C257A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7768B97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9D60AA2" w14:textId="4FD749F8" w:rsidR="00702C33" w:rsidRPr="000730A6" w:rsidRDefault="00D218DD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0</w:t>
    </w:r>
    <w:r w:rsidR="00841D7D">
      <w:rPr>
        <w:color w:val="000000"/>
        <w:sz w:val="23"/>
        <w:szCs w:val="23"/>
      </w:rPr>
      <w:t>8</w:t>
    </w:r>
    <w:r w:rsidR="001B54AD">
      <w:rPr>
        <w:color w:val="000000"/>
        <w:sz w:val="23"/>
        <w:szCs w:val="23"/>
      </w:rPr>
      <w:t xml:space="preserve">. </w:t>
    </w:r>
    <w:r>
      <w:rPr>
        <w:color w:val="000000"/>
        <w:sz w:val="23"/>
        <w:szCs w:val="23"/>
      </w:rPr>
      <w:t>0</w:t>
    </w:r>
    <w:r w:rsidR="0054027B">
      <w:rPr>
        <w:color w:val="000000"/>
        <w:sz w:val="23"/>
        <w:szCs w:val="23"/>
      </w:rPr>
      <w:t>2</w:t>
    </w:r>
    <w:r w:rsidR="001B54AD">
      <w:rPr>
        <w:color w:val="000000"/>
        <w:sz w:val="23"/>
        <w:szCs w:val="23"/>
      </w:rPr>
      <w:t>. 202</w:t>
    </w:r>
    <w:r w:rsidR="002F1572">
      <w:rPr>
        <w:color w:val="000000"/>
        <w:sz w:val="23"/>
        <w:szCs w:val="23"/>
      </w:rPr>
      <w:t>3</w:t>
    </w:r>
  </w:p>
  <w:p w14:paraId="4362962F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8285ECB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A6E1C4C"/>
    <w:multiLevelType w:val="hybridMultilevel"/>
    <w:tmpl w:val="880A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32E"/>
    <w:multiLevelType w:val="hybridMultilevel"/>
    <w:tmpl w:val="9450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4829"/>
    <w:multiLevelType w:val="hybridMultilevel"/>
    <w:tmpl w:val="A204E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D70"/>
    <w:multiLevelType w:val="multilevel"/>
    <w:tmpl w:val="11820CCE"/>
    <w:numStyleLink w:val="FormatvorlageAufgezhlt"/>
  </w:abstractNum>
  <w:abstractNum w:abstractNumId="11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30B23"/>
    <w:multiLevelType w:val="multilevel"/>
    <w:tmpl w:val="11820CCE"/>
    <w:numStyleLink w:val="FormatvorlageAufgezhlt"/>
  </w:abstractNum>
  <w:abstractNum w:abstractNumId="15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B5022"/>
    <w:multiLevelType w:val="hybridMultilevel"/>
    <w:tmpl w:val="DCD46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403C3"/>
    <w:multiLevelType w:val="multilevel"/>
    <w:tmpl w:val="11820CCE"/>
    <w:numStyleLink w:val="FormatvorlageAufgezhlt"/>
  </w:abstractNum>
  <w:abstractNum w:abstractNumId="21" w15:restartNumberingAfterBreak="0">
    <w:nsid w:val="6C6C4721"/>
    <w:multiLevelType w:val="multilevel"/>
    <w:tmpl w:val="11820CCE"/>
    <w:numStyleLink w:val="FormatvorlageAufgezhlt"/>
  </w:abstractNum>
  <w:abstractNum w:abstractNumId="22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5380B"/>
    <w:multiLevelType w:val="multilevel"/>
    <w:tmpl w:val="11820CCE"/>
    <w:numStyleLink w:val="FormatvorlageAufgezhlt"/>
  </w:abstractNum>
  <w:abstractNum w:abstractNumId="2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2204">
    <w:abstractNumId w:val="0"/>
  </w:num>
  <w:num w:numId="2" w16cid:durableId="1140617048">
    <w:abstractNumId w:val="11"/>
  </w:num>
  <w:num w:numId="3" w16cid:durableId="743449272">
    <w:abstractNumId w:val="18"/>
  </w:num>
  <w:num w:numId="4" w16cid:durableId="1482650028">
    <w:abstractNumId w:val="12"/>
  </w:num>
  <w:num w:numId="5" w16cid:durableId="1143234631">
    <w:abstractNumId w:val="14"/>
  </w:num>
  <w:num w:numId="6" w16cid:durableId="700011805">
    <w:abstractNumId w:val="20"/>
  </w:num>
  <w:num w:numId="7" w16cid:durableId="1937514415">
    <w:abstractNumId w:val="21"/>
  </w:num>
  <w:num w:numId="8" w16cid:durableId="139002878">
    <w:abstractNumId w:val="1"/>
  </w:num>
  <w:num w:numId="9" w16cid:durableId="2090539373">
    <w:abstractNumId w:val="23"/>
  </w:num>
  <w:num w:numId="10" w16cid:durableId="1930038299">
    <w:abstractNumId w:val="10"/>
  </w:num>
  <w:num w:numId="11" w16cid:durableId="673340646">
    <w:abstractNumId w:val="3"/>
  </w:num>
  <w:num w:numId="12" w16cid:durableId="1400832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4268607">
    <w:abstractNumId w:val="27"/>
  </w:num>
  <w:num w:numId="14" w16cid:durableId="2022392648">
    <w:abstractNumId w:val="28"/>
  </w:num>
  <w:num w:numId="15" w16cid:durableId="1519849674">
    <w:abstractNumId w:val="17"/>
  </w:num>
  <w:num w:numId="16" w16cid:durableId="203373030">
    <w:abstractNumId w:val="5"/>
  </w:num>
  <w:num w:numId="17" w16cid:durableId="1638994918">
    <w:abstractNumId w:val="2"/>
  </w:num>
  <w:num w:numId="18" w16cid:durableId="1485703307">
    <w:abstractNumId w:val="19"/>
  </w:num>
  <w:num w:numId="19" w16cid:durableId="1272739652">
    <w:abstractNumId w:val="22"/>
  </w:num>
  <w:num w:numId="20" w16cid:durableId="1461148382">
    <w:abstractNumId w:val="25"/>
  </w:num>
  <w:num w:numId="21" w16cid:durableId="1611467497">
    <w:abstractNumId w:val="24"/>
  </w:num>
  <w:num w:numId="22" w16cid:durableId="1455978194">
    <w:abstractNumId w:val="9"/>
  </w:num>
  <w:num w:numId="23" w16cid:durableId="1379084372">
    <w:abstractNumId w:val="15"/>
  </w:num>
  <w:num w:numId="24" w16cid:durableId="573199580">
    <w:abstractNumId w:val="13"/>
  </w:num>
  <w:num w:numId="25" w16cid:durableId="403993204">
    <w:abstractNumId w:val="26"/>
  </w:num>
  <w:num w:numId="26" w16cid:durableId="574096096">
    <w:abstractNumId w:val="8"/>
  </w:num>
  <w:num w:numId="27" w16cid:durableId="231043340">
    <w:abstractNumId w:val="7"/>
  </w:num>
  <w:num w:numId="28" w16cid:durableId="1709407271">
    <w:abstractNumId w:val="16"/>
  </w:num>
  <w:num w:numId="29" w16cid:durableId="9808443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766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2FAF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4CCA"/>
    <w:rsid w:val="000451DD"/>
    <w:rsid w:val="0004614B"/>
    <w:rsid w:val="0004650F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2DAA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5D"/>
    <w:rsid w:val="000F0588"/>
    <w:rsid w:val="000F1147"/>
    <w:rsid w:val="000F1664"/>
    <w:rsid w:val="000F27EA"/>
    <w:rsid w:val="000F2BA0"/>
    <w:rsid w:val="000F3D0A"/>
    <w:rsid w:val="000F3DB3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34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0959"/>
    <w:rsid w:val="00171D4F"/>
    <w:rsid w:val="0017261D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4AD"/>
    <w:rsid w:val="001B59DE"/>
    <w:rsid w:val="001B5D0F"/>
    <w:rsid w:val="001B61C1"/>
    <w:rsid w:val="001B632C"/>
    <w:rsid w:val="001B7091"/>
    <w:rsid w:val="001B72E7"/>
    <w:rsid w:val="001C000D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7E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0B9A"/>
    <w:rsid w:val="0020129D"/>
    <w:rsid w:val="00202440"/>
    <w:rsid w:val="002027D8"/>
    <w:rsid w:val="002036EF"/>
    <w:rsid w:val="00203F8A"/>
    <w:rsid w:val="00204162"/>
    <w:rsid w:val="00204325"/>
    <w:rsid w:val="0020512B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232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083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1572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3C54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40FD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03E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3E67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9DB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375D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027B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234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23C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779"/>
    <w:rsid w:val="00645A0B"/>
    <w:rsid w:val="0064735F"/>
    <w:rsid w:val="00647DC0"/>
    <w:rsid w:val="00647FEA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0F"/>
    <w:rsid w:val="006A27C8"/>
    <w:rsid w:val="006A34DD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075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4153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5B58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5EE"/>
    <w:rsid w:val="00822DB1"/>
    <w:rsid w:val="008233D4"/>
    <w:rsid w:val="008238FF"/>
    <w:rsid w:val="0082399F"/>
    <w:rsid w:val="008239C2"/>
    <w:rsid w:val="008248EB"/>
    <w:rsid w:val="00824C20"/>
    <w:rsid w:val="008251A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1D7D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45C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738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5A8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43D4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BC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2AC3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33DA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403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67F0"/>
    <w:rsid w:val="00BE7629"/>
    <w:rsid w:val="00BE7C14"/>
    <w:rsid w:val="00BE7D2C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4F4C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77864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08D4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74E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3AA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8DD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1DE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4A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66E3"/>
    <w:rsid w:val="00D973E1"/>
    <w:rsid w:val="00DA0DA9"/>
    <w:rsid w:val="00DA0DE3"/>
    <w:rsid w:val="00DA27A2"/>
    <w:rsid w:val="00DA352E"/>
    <w:rsid w:val="00DA3657"/>
    <w:rsid w:val="00DA5348"/>
    <w:rsid w:val="00DA6769"/>
    <w:rsid w:val="00DA6831"/>
    <w:rsid w:val="00DA740D"/>
    <w:rsid w:val="00DB10FE"/>
    <w:rsid w:val="00DB23E1"/>
    <w:rsid w:val="00DB28B2"/>
    <w:rsid w:val="00DB3194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DA7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AC9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A78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0BAB"/>
    <w:rsid w:val="00EC3B49"/>
    <w:rsid w:val="00EC409B"/>
    <w:rsid w:val="00EC4611"/>
    <w:rsid w:val="00EC4AB6"/>
    <w:rsid w:val="00EC5EA8"/>
    <w:rsid w:val="00EC627B"/>
    <w:rsid w:val="00EC7C07"/>
    <w:rsid w:val="00ED0A91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1CB5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8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4DC6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B7C01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E92E6"/>
  <w15:docId w15:val="{0E723234-CFBE-4073-8C44-7097A69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uiPriority w:val="99"/>
    <w:semiHidden/>
    <w:rsid w:val="00E33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DB3"/>
    <w:rPr>
      <w:rFonts w:ascii="Interstate-Light" w:hAnsi="Interstate-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0A37-7E30-406F-AB9C-2E4394B33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2023-02-08T11:18:00Z</dcterms:created>
  <dcterms:modified xsi:type="dcterms:W3CDTF">2023-02-08T11:18:00Z</dcterms:modified>
</cp:coreProperties>
</file>